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6989">
      <w:pPr>
        <w:jc w:val="center"/>
      </w:pPr>
      <w:bookmarkStart w:id="0" w:name="_GoBack"/>
      <w:bookmarkEnd w:id="0"/>
      <w:r>
        <w:rPr>
          <w:b/>
          <w:sz w:val="28"/>
        </w:rPr>
        <w:t>Statement of Incom</w:t>
      </w:r>
      <w:r>
        <w:rPr>
          <w:b/>
          <w:sz w:val="28"/>
        </w:rPr>
        <w:t>e</w:t>
      </w:r>
    </w:p>
    <w:p w:rsidR="00000000" w:rsidRDefault="003A6989">
      <w:pPr>
        <w:jc w:val="center"/>
      </w:pPr>
      <w:r>
        <w:rPr>
          <w:b/>
          <w:sz w:val="28"/>
        </w:rPr>
        <w:t>For the Ended</w:t>
      </w:r>
      <w:r>
        <w:rPr>
          <w:b/>
          <w:sz w:val="28"/>
        </w:rPr>
        <w:t xml:space="preserve"> </w:t>
      </w:r>
    </w:p>
    <w:p w:rsidR="00000000" w:rsidRDefault="003A6989">
      <w:pPr>
        <w:jc w:val="center"/>
      </w:pPr>
      <w:r>
        <w:rPr>
          <w:b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8"/>
        <w:gridCol w:w="3722"/>
      </w:tblGrid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  <w:sz w:val="26"/>
                <w:szCs w:val="26"/>
              </w:rPr>
              <w:t>Revenue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8" w:type="pct"/>
            <w:hideMark/>
          </w:tcPr>
          <w:p w:rsidR="00000000" w:rsidRDefault="003A6989">
            <w:r>
              <w:t> </w:t>
            </w:r>
          </w:p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Products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 xml:space="preserve">     Less Returns and Allowances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Services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Other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</w:rPr>
              <w:t>Total Revenu</w:t>
            </w:r>
            <w:r>
              <w:rPr>
                <w:b/>
              </w:rPr>
              <w:t>e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:rsidR="00000000" w:rsidRDefault="003A6989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8"/>
        <w:gridCol w:w="3722"/>
      </w:tblGrid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  <w:sz w:val="26"/>
                <w:szCs w:val="26"/>
              </w:rPr>
              <w:t>Cost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8" w:type="pct"/>
            <w:hideMark/>
          </w:tcPr>
          <w:p w:rsidR="00000000" w:rsidRDefault="003A6989">
            <w:r>
              <w:t> </w:t>
            </w:r>
          </w:p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Products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Services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Other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</w:rPr>
              <w:t>Total Cos</w:t>
            </w:r>
            <w:r>
              <w:rPr>
                <w:b/>
              </w:rPr>
              <w:t>t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:rsidR="00000000" w:rsidRDefault="003A6989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8"/>
        <w:gridCol w:w="3722"/>
      </w:tblGrid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</w:rPr>
              <w:t>GROSS PROFI</w:t>
            </w:r>
            <w:r>
              <w:rPr>
                <w:b/>
              </w:rPr>
              <w:t>T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:rsidR="00000000" w:rsidRDefault="003A6989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8"/>
        <w:gridCol w:w="3722"/>
      </w:tblGrid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  <w:sz w:val="26"/>
                <w:szCs w:val="26"/>
              </w:rPr>
              <w:t>Operating Expense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8" w:type="pct"/>
            <w:hideMark/>
          </w:tcPr>
          <w:p w:rsidR="00000000" w:rsidRDefault="003A6989">
            <w:r>
              <w:t> </w:t>
            </w:r>
          </w:p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General and Administrative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Insurance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Non Recurring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Payroll Taxes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Rent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Research and Development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Salaries and Wages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Sales and Marketing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Utilities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t>Other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/>
        </w:tc>
      </w:tr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</w:rPr>
              <w:t>Total Operating Expense</w:t>
            </w:r>
            <w:r>
              <w:rPr>
                <w:b/>
              </w:rPr>
              <w:t>s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>
            <w:pPr>
              <w:tabs>
                <w:tab w:val="left" w:pos="1050"/>
                <w:tab w:val="right" w:pos="3506"/>
              </w:tabs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:rsidR="00000000" w:rsidRDefault="003A6989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8"/>
        <w:gridCol w:w="3722"/>
      </w:tblGrid>
      <w:tr w:rsidR="00000000">
        <w:trPr>
          <w:trHeight w:val="87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</w:rPr>
              <w:t>OPERATING INCOM</w:t>
            </w:r>
            <w:r>
              <w:rPr>
                <w:b/>
              </w:rPr>
              <w:t>E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:rsidR="00000000" w:rsidRDefault="003A6989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8"/>
        <w:gridCol w:w="3722"/>
      </w:tblGrid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  <w:sz w:val="26"/>
                <w:szCs w:val="26"/>
              </w:rPr>
              <w:t>Non-Operating or Othe</w:t>
            </w:r>
            <w:r>
              <w:rPr>
                <w:b/>
                <w:sz w:val="26"/>
                <w:szCs w:val="26"/>
              </w:rPr>
              <w:t>r</w:t>
            </w:r>
          </w:p>
        </w:tc>
        <w:tc>
          <w:tcPr>
            <w:tcW w:w="1988" w:type="pct"/>
            <w:hideMark/>
          </w:tcPr>
          <w:p w:rsidR="00000000" w:rsidRDefault="003A6989">
            <w:r>
              <w:t> </w:t>
            </w:r>
          </w:p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Interest Revenue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Interest Expense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Gain on Sale of Assets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Loss on Sale of Assets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Gain from Legal Action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Loss from Legal Action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Depreciation and Amortization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Other Gain</w:t>
            </w:r>
          </w:p>
        </w:tc>
        <w:tc>
          <w:tcPr>
            <w:tcW w:w="1988" w:type="pct"/>
            <w:hideMark/>
          </w:tcPr>
          <w:p w:rsidR="00000000" w:rsidRDefault="003A6989"/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Other Loss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/>
        </w:tc>
      </w:tr>
      <w:tr w:rsidR="00000000">
        <w:trPr>
          <w:trHeight w:val="206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</w:rPr>
              <w:t>Total Non-Operating or Othe</w:t>
            </w:r>
            <w:r>
              <w:rPr>
                <w:b/>
              </w:rPr>
              <w:t>r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3A6989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:rsidR="00000000" w:rsidRDefault="003A6989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8"/>
        <w:gridCol w:w="3722"/>
      </w:tblGrid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</w:rPr>
              <w:lastRenderedPageBreak/>
              <w:t>PRE-TAX INCOM</w:t>
            </w:r>
            <w:r>
              <w:rPr>
                <w:b/>
              </w:rPr>
              <w:t>E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:rsidR="00000000" w:rsidRDefault="003A6989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8"/>
        <w:gridCol w:w="3722"/>
      </w:tblGrid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  <w:sz w:val="26"/>
                <w:szCs w:val="26"/>
              </w:rPr>
              <w:t>Taxe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8" w:type="pct"/>
            <w:hideMark/>
          </w:tcPr>
          <w:p w:rsidR="00000000" w:rsidRDefault="003A6989">
            <w:r>
              <w:t> </w:t>
            </w:r>
          </w:p>
        </w:tc>
      </w:tr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t>Income Tax Expense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A6989"/>
        </w:tc>
      </w:tr>
    </w:tbl>
    <w:p w:rsidR="00000000" w:rsidRDefault="003A6989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38"/>
        <w:gridCol w:w="3722"/>
      </w:tblGrid>
      <w:tr w:rsidR="00000000">
        <w:trPr>
          <w:trHeight w:val="213"/>
        </w:trPr>
        <w:tc>
          <w:tcPr>
            <w:tcW w:w="3012" w:type="pct"/>
            <w:hideMark/>
          </w:tcPr>
          <w:p w:rsidR="00000000" w:rsidRDefault="003A6989">
            <w:r>
              <w:rPr>
                <w:b/>
              </w:rPr>
              <w:t>NET INCOM</w:t>
            </w:r>
            <w:r>
              <w:rPr>
                <w:b/>
              </w:rPr>
              <w:t>E</w:t>
            </w:r>
          </w:p>
        </w:tc>
        <w:tc>
          <w:tcPr>
            <w:tcW w:w="1988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00000" w:rsidRDefault="003A6989">
            <w:pPr>
              <w:jc w:val="right"/>
            </w:pPr>
            <w:r>
              <w:rPr>
                <w:rStyle w:val="saved-var"/>
                <w:b/>
              </w:rPr>
              <w:t>$0.0</w:t>
            </w:r>
            <w:r>
              <w:rPr>
                <w:rStyle w:val="saved-var"/>
                <w:b/>
              </w:rPr>
              <w:t>0</w:t>
            </w:r>
          </w:p>
        </w:tc>
      </w:tr>
    </w:tbl>
    <w:p w:rsidR="003A6989" w:rsidRDefault="003A6989">
      <w:r>
        <w:t> </w:t>
      </w:r>
    </w:p>
    <w:sectPr w:rsidR="003A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3FB5"/>
    <w:rsid w:val="003A6989"/>
    <w:rsid w:val="0053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9ECF2-8D5F-46BF-9AE0-1F26B5A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 w:hint="default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table" w:styleId="TableGrid">
    <w:name w:val="Table Grid"/>
    <w:basedOn w:val="TableNormal"/>
    <w:uiPriority w:val="39"/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</dc:creator>
  <cp:keywords/>
  <dc:description/>
  <cp:lastModifiedBy>Duk</cp:lastModifiedBy>
  <cp:revision>2</cp:revision>
  <dcterms:created xsi:type="dcterms:W3CDTF">2017-03-09T22:00:00Z</dcterms:created>
  <dcterms:modified xsi:type="dcterms:W3CDTF">2017-03-09T22:00:00Z</dcterms:modified>
</cp:coreProperties>
</file>